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FAA" w14:textId="237C870E" w:rsidR="00C43A27" w:rsidRPr="00C43A27" w:rsidRDefault="00C43A27" w:rsidP="00C43A27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43A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不</w:t>
      </w:r>
      <w:proofErr w:type="gramStart"/>
      <w:r w:rsidRPr="00C43A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插電的桌遊</w:t>
      </w:r>
      <w:proofErr w:type="gramEnd"/>
      <w:r w:rsidRPr="00C43A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教育！家長如何</w:t>
      </w:r>
      <w:proofErr w:type="gramStart"/>
      <w:r w:rsidRPr="00C43A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用桌遊</w:t>
      </w:r>
      <w:proofErr w:type="gramEnd"/>
      <w:r w:rsidRPr="00C43A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培育正向樂觀孩子</w:t>
      </w:r>
    </w:p>
    <w:p w14:paraId="7B55D7EF" w14:textId="77777777" w:rsidR="00C43A27" w:rsidRPr="00C43A27" w:rsidRDefault="00C43A27" w:rsidP="00C43A27">
      <w:pPr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38C20C7A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說到桌遊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，相信大部分的家長都會將它歸類為玩具，認為只具娛樂的用途。有沒有想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過桌遊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亦是一項教具，讓孩子在遊戲中學習呢？現在市面上有百樣種不同類型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的桌遊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，不少家長都挑選得眼花撩亂，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不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仿參考一下以下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攻略吧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！</w:t>
      </w:r>
    </w:p>
    <w:p w14:paraId="628BAD19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0AFD41C7" w14:textId="05B6187E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首先，在玩遊戲前請與孩子樹立規則，包括專心聽遊戲規則、遵守遊戲規則、尊重場上的玩家、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愛護桌遊配件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和遊戲後幫忙收拾。可以和如果孩子協商如果犯了以上規則會有什麼懲罰等，能讓孩子明白到自律的重要。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</w:r>
    </w:p>
    <w:p w14:paraId="5AA8C7F2" w14:textId="03BCDF0D" w:rsid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在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選擇桌遊時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，大部分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桌遊可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分為四大類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破冰熱身類、團隊合作類、策略規劃類和溝通技巧類，家長們可以針對想孩子加強的部分在四大類別中選擇適合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的桌遊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：</w:t>
      </w:r>
    </w:p>
    <w:p w14:paraId="7FC59843" w14:textId="77777777" w:rsidR="00F22126" w:rsidRPr="00C43A27" w:rsidRDefault="00F22126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180B79B1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 xml:space="preserve">1. 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破冰熱身類</w:t>
      </w:r>
    </w:p>
    <w:p w14:paraId="0B482890" w14:textId="7C231DE0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情緒控制是孩子成長中最重要的一課，亦深深影響著他們的價值觀。破冰熱身類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的桌遊比較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多反應類的遊戲，適合用來引導他們學習在輸贏中控制情緒。</w:t>
      </w:r>
      <w:r w:rsidR="00AC0D33" w:rsidRPr="00C43A27">
        <w:rPr>
          <w:rFonts w:ascii="Times New Roman" w:hAnsi="Times New Roman" w:cs="Times New Roman"/>
          <w:color w:val="000000"/>
          <w:sz w:val="20"/>
          <w:szCs w:val="20"/>
        </w:rPr>
        <w:t>「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神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Cup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妙手</w:t>
      </w:r>
      <w:r w:rsidR="00AC0D33" w:rsidRPr="00C43A27">
        <w:rPr>
          <w:rFonts w:ascii="Times New Roman" w:hAnsi="Times New Roman" w:cs="Times New Roman"/>
          <w:color w:val="000000"/>
          <w:sz w:val="20"/>
          <w:szCs w:val="20"/>
        </w:rPr>
        <w:t>」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是其中一副考反應的破冰熱身遊戲，每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個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玩家獲得五個不同顏色的杯子，並嘗試率先按照題目上正確的順序擺放並按鈴。遊戲過程中，需要孩子的好眼力及迅速的反應。遊戲中比較容</w:t>
      </w:r>
      <w:r w:rsidR="00AC0D33">
        <w:rPr>
          <w:rFonts w:ascii="Times New Roman" w:hAnsi="Times New Roman" w:cs="Times New Roman" w:hint="eastAsia"/>
          <w:color w:val="000000"/>
          <w:sz w:val="20"/>
          <w:szCs w:val="20"/>
        </w:rPr>
        <w:t>易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產生衝突，需要家長用愛與關懷引導孩子控制自己的情緒。</w:t>
      </w:r>
    </w:p>
    <w:p w14:paraId="6A48C4B2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04AEDD33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2.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團隊合作類</w:t>
      </w:r>
    </w:p>
    <w:p w14:paraId="43689CA8" w14:textId="7E46DD7E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團</w:t>
      </w:r>
      <w:r w:rsidR="00AC0D33" w:rsidRPr="00AC0D33">
        <w:rPr>
          <w:rFonts w:ascii="Times New Roman" w:hAnsi="Times New Roman" w:cs="Times New Roman" w:hint="eastAsia"/>
          <w:color w:val="000000"/>
          <w:sz w:val="20"/>
          <w:szCs w:val="20"/>
        </w:rPr>
        <w:t>隊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合作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類桌遊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是最適合家長給予孩子正面反饋，能令孩子發揮自我價值，能在幫助他人中獲得認同感，建立人際關係，培養責任感。例如，</w:t>
      </w:r>
      <w:r w:rsidR="00AC0D33" w:rsidRPr="00C43A27">
        <w:rPr>
          <w:rFonts w:ascii="Times New Roman" w:hAnsi="Times New Roman" w:cs="Times New Roman"/>
          <w:color w:val="000000"/>
          <w:sz w:val="20"/>
          <w:szCs w:val="20"/>
        </w:rPr>
        <w:t>「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二人三築</w:t>
      </w:r>
      <w:r w:rsidR="00AC0D33" w:rsidRPr="00C43A27">
        <w:rPr>
          <w:rFonts w:ascii="Times New Roman" w:hAnsi="Times New Roman" w:cs="Times New Roman"/>
          <w:color w:val="000000"/>
          <w:sz w:val="20"/>
          <w:szCs w:val="20"/>
        </w:rPr>
        <w:t>」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能讓孩子和家長嘗試合作操作吊臂，以吊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鉤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控制積木，完成任務卡所繪之正確結構。建議家長在孩子成功時給矛讚美與鼓勵，加強孩子的自信心。</w:t>
      </w:r>
    </w:p>
    <w:p w14:paraId="1F4EBC8A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2AA3B601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3.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策略規劃類</w:t>
      </w:r>
    </w:p>
    <w:p w14:paraId="6589FCDB" w14:textId="3D7993AD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策劃規劃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類桌遊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的遊玩時間比較長，適合訓練孩子的專注力，亦特別需要家長的陪伴。以</w:t>
      </w:r>
      <w:r w:rsidR="00AC0D33" w:rsidRPr="00C43A27">
        <w:rPr>
          <w:rFonts w:ascii="Times New Roman" w:hAnsi="Times New Roman" w:cs="Times New Roman"/>
          <w:color w:val="000000"/>
          <w:sz w:val="20"/>
          <w:szCs w:val="20"/>
        </w:rPr>
        <w:t>「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卡坦</w:t>
      </w:r>
      <w:r w:rsidR="00AC0D33" w:rsidRPr="00C43A27">
        <w:rPr>
          <w:rFonts w:ascii="Times New Roman" w:hAnsi="Times New Roman" w:cs="Times New Roman"/>
          <w:color w:val="000000"/>
          <w:sz w:val="20"/>
          <w:szCs w:val="20"/>
        </w:rPr>
        <w:t>」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為例，這是一款以貿易、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手牌或骰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運取得資源的策略遊戲，需要以巧妙的貿易和機智發展步向勝利。在遊戲中，家長可以陪伴孩子一同決策，引導孩子如何獨立思考。</w:t>
      </w:r>
    </w:p>
    <w:p w14:paraId="79B65C1C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2727DCA4" w14:textId="77777777" w:rsidR="00AC0D33" w:rsidRDefault="00AC0D33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538D2735" w14:textId="77777777" w:rsidR="00AC0D33" w:rsidRDefault="00AC0D33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63F8965B" w14:textId="3F484BB5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lastRenderedPageBreak/>
        <w:t>4.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溝通技巧類</w:t>
      </w:r>
    </w:p>
    <w:p w14:paraId="52AD0862" w14:textId="31AF690C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這一代的孩子最需要的是放下「電子奶嘴」，學習和別人面對面溝通。溝通技巧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類桌遊便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能發揮它的效果，例如</w:t>
      </w:r>
      <w:r w:rsidR="00AC0D33" w:rsidRPr="00C43A27">
        <w:rPr>
          <w:rFonts w:ascii="Times New Roman" w:hAnsi="Times New Roman" w:cs="Times New Roman"/>
          <w:color w:val="000000"/>
          <w:sz w:val="20"/>
          <w:szCs w:val="20"/>
        </w:rPr>
        <w:t>「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估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估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劃劃</w:t>
      </w:r>
      <w:r w:rsidR="00AC0D33" w:rsidRPr="00C43A27">
        <w:rPr>
          <w:rFonts w:ascii="Times New Roman" w:hAnsi="Times New Roman" w:cs="Times New Roman"/>
          <w:color w:val="000000"/>
          <w:sz w:val="20"/>
          <w:szCs w:val="20"/>
        </w:rPr>
        <w:t>」</w:t>
      </w:r>
      <w:r w:rsidRPr="00C43A27">
        <w:rPr>
          <w:rFonts w:ascii="Times New Roman" w:hAnsi="Times New Roman" w:cs="Times New Roman"/>
          <w:color w:val="000000"/>
          <w:sz w:val="20"/>
          <w:szCs w:val="20"/>
        </w:rPr>
        <w:t>是一個沒有人數限制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的猜詞遊戲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：透過同義、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反義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、暗示以至動作比劃，讓隊友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盡快猜出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你所描述的詞語，在限時內爭取最高分數，特別適合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修練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語言能力，家長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可以采用不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怪責、不比較的方式，與孩子建立溝通管道，更有效地灌輸正面思想。</w:t>
      </w:r>
    </w:p>
    <w:p w14:paraId="532783F2" w14:textId="77777777" w:rsidR="00C43A27" w:rsidRPr="00C43A27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1978776D" w14:textId="577534E7" w:rsidR="00AE014E" w:rsidRDefault="00C43A27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C43A27">
        <w:rPr>
          <w:rFonts w:ascii="Times New Roman" w:hAnsi="Times New Roman" w:cs="Times New Roman"/>
          <w:color w:val="000000"/>
          <w:sz w:val="20"/>
          <w:szCs w:val="20"/>
        </w:rPr>
        <w:t>一個正向樂觀的孩子需要長時間的培養，像房子的根基一樣，要一點</w:t>
      </w:r>
      <w:proofErr w:type="gramStart"/>
      <w:r w:rsidRPr="00C43A27">
        <w:rPr>
          <w:rFonts w:ascii="Times New Roman" w:hAnsi="Times New Roman" w:cs="Times New Roman"/>
          <w:color w:val="000000"/>
          <w:sz w:val="20"/>
          <w:szCs w:val="20"/>
        </w:rPr>
        <w:t>一點</w:t>
      </w:r>
      <w:proofErr w:type="gramEnd"/>
      <w:r w:rsidRPr="00C43A27">
        <w:rPr>
          <w:rFonts w:ascii="Times New Roman" w:hAnsi="Times New Roman" w:cs="Times New Roman"/>
          <w:color w:val="000000"/>
          <w:sz w:val="20"/>
          <w:szCs w:val="20"/>
        </w:rPr>
        <w:t>的建立起正確的價值觀，當未來發生再大的挫折，只要根基穩固，孩子亦可以保持正向樂觀去面對難題。</w:t>
      </w:r>
    </w:p>
    <w:p w14:paraId="467B67BF" w14:textId="0747DE76" w:rsidR="00307C71" w:rsidRDefault="00307C71" w:rsidP="00C43A27">
      <w:pPr>
        <w:rPr>
          <w:rFonts w:ascii="Times New Roman" w:hAnsi="Times New Roman" w:cs="Times New Roman"/>
          <w:color w:val="000000"/>
          <w:sz w:val="20"/>
          <w:szCs w:val="20"/>
        </w:rPr>
      </w:pPr>
    </w:p>
    <w:p w14:paraId="0BC62FE9" w14:textId="77777777" w:rsidR="00307C71" w:rsidRDefault="00307C71" w:rsidP="00307C71">
      <w:pPr>
        <w:rPr>
          <w:rFonts w:ascii="Times New Roman" w:hAnsi="Times New Roman" w:cs="Times New Roman"/>
          <w:sz w:val="20"/>
          <w:szCs w:val="20"/>
        </w:rPr>
      </w:pPr>
    </w:p>
    <w:p w14:paraId="42A0614A" w14:textId="77777777" w:rsidR="00307C71" w:rsidRPr="00307C71" w:rsidRDefault="00307C71" w:rsidP="00307C71">
      <w:pPr>
        <w:shd w:val="clear" w:color="auto" w:fill="FFFFFF"/>
        <w:spacing w:beforeAutospacing="1" w:afterAutospacing="1"/>
        <w:textAlignment w:val="baseline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307C71">
        <w:rPr>
          <w:rFonts w:ascii="inherit" w:eastAsia="Times New Roman" w:hAnsi="inherit" w:cs="Arial"/>
          <w:b/>
          <w:bCs/>
          <w:sz w:val="27"/>
          <w:szCs w:val="27"/>
          <w:bdr w:val="none" w:sz="0" w:space="0" w:color="auto" w:frame="1"/>
        </w:rPr>
        <w:t>Broadway Toys Limited</w:t>
      </w:r>
      <w:r w:rsidRPr="00307C71">
        <w:rPr>
          <w:rFonts w:ascii="Arial" w:eastAsia="Times New Roman" w:hAnsi="Arial" w:cs="Arial"/>
          <w:b/>
          <w:bCs/>
          <w:sz w:val="27"/>
          <w:szCs w:val="27"/>
        </w:rPr>
        <w:br/>
      </w:r>
      <w:r w:rsidRPr="00307C71">
        <w:rPr>
          <w:rFonts w:ascii="新細明體" w:eastAsia="新細明體" w:hAnsi="新細明體" w:cs="新細明體" w:hint="eastAsia"/>
          <w:b/>
          <w:bCs/>
          <w:sz w:val="27"/>
          <w:szCs w:val="27"/>
          <w:bdr w:val="none" w:sz="0" w:space="0" w:color="auto" w:frame="1"/>
        </w:rPr>
        <w:t>栢龍玩具有限公</w:t>
      </w:r>
      <w:r w:rsidRPr="00307C71">
        <w:rPr>
          <w:rFonts w:ascii="新細明體" w:eastAsia="新細明體" w:hAnsi="新細明體" w:cs="新細明體"/>
          <w:b/>
          <w:bCs/>
          <w:sz w:val="27"/>
          <w:szCs w:val="27"/>
          <w:bdr w:val="none" w:sz="0" w:space="0" w:color="auto" w:frame="1"/>
        </w:rPr>
        <w:t>司</w:t>
      </w:r>
    </w:p>
    <w:p w14:paraId="36DEA0E5" w14:textId="212CB711" w:rsidR="00307C71" w:rsidRPr="00307C71" w:rsidRDefault="00307C71" w:rsidP="00307C71">
      <w:pPr>
        <w:shd w:val="clear" w:color="auto" w:fill="FFFFFF"/>
        <w:spacing w:before="100" w:beforeAutospacing="1" w:after="100" w:afterAutospacing="1"/>
        <w:textAlignment w:val="baseline"/>
        <w:rPr>
          <w:rFonts w:ascii="Arial" w:hAnsi="Arial" w:cs="Arial"/>
          <w:sz w:val="21"/>
          <w:szCs w:val="21"/>
        </w:rPr>
      </w:pPr>
      <w:r w:rsidRPr="00307C71">
        <w:rPr>
          <w:rFonts w:ascii="新細明體" w:eastAsia="新細明體" w:hAnsi="新細明體" w:cs="新細明體" w:hint="eastAsia"/>
          <w:sz w:val="21"/>
          <w:szCs w:val="21"/>
        </w:rPr>
        <w:t>地址</w:t>
      </w:r>
      <w:r w:rsidRPr="00307C71">
        <w:rPr>
          <w:rFonts w:ascii="Arial" w:eastAsia="Times New Roman" w:hAnsi="Arial" w:cs="Arial"/>
          <w:sz w:val="21"/>
          <w:szCs w:val="21"/>
        </w:rPr>
        <w:t>:</w:t>
      </w:r>
      <w:r w:rsidRPr="00AC0D33">
        <w:rPr>
          <w:rFonts w:ascii="Arial" w:eastAsia="Times New Roman" w:hAnsi="Arial" w:cs="Arial"/>
          <w:sz w:val="21"/>
          <w:szCs w:val="21"/>
        </w:rPr>
        <w:t xml:space="preserve"> </w:t>
      </w:r>
      <w:r w:rsidRPr="00307C71">
        <w:rPr>
          <w:rFonts w:ascii="新細明體" w:eastAsia="新細明體" w:hAnsi="新細明體" w:cs="新細明體" w:hint="eastAsia"/>
          <w:sz w:val="21"/>
          <w:szCs w:val="21"/>
        </w:rPr>
        <w:t>九龍紅</w:t>
      </w:r>
      <w:proofErr w:type="gramStart"/>
      <w:r w:rsidRPr="00307C71">
        <w:rPr>
          <w:rFonts w:ascii="新細明體" w:eastAsia="新細明體" w:hAnsi="新細明體" w:cs="新細明體" w:hint="eastAsia"/>
          <w:sz w:val="21"/>
          <w:szCs w:val="21"/>
        </w:rPr>
        <w:t>磡鶴園東街</w:t>
      </w:r>
      <w:r w:rsidRPr="00307C71">
        <w:rPr>
          <w:rFonts w:ascii="Arial" w:eastAsia="Times New Roman" w:hAnsi="Arial" w:cs="Arial"/>
          <w:sz w:val="21"/>
          <w:szCs w:val="21"/>
        </w:rPr>
        <w:t>4</w:t>
      </w:r>
      <w:r w:rsidRPr="00307C71">
        <w:rPr>
          <w:rFonts w:ascii="新細明體" w:eastAsia="新細明體" w:hAnsi="新細明體" w:cs="新細明體" w:hint="eastAsia"/>
          <w:sz w:val="21"/>
          <w:szCs w:val="21"/>
        </w:rPr>
        <w:t>號恆藝</w:t>
      </w:r>
      <w:proofErr w:type="gramEnd"/>
      <w:r w:rsidRPr="00307C71">
        <w:rPr>
          <w:rFonts w:ascii="新細明體" w:eastAsia="新細明體" w:hAnsi="新細明體" w:cs="新細明體" w:hint="eastAsia"/>
          <w:sz w:val="21"/>
          <w:szCs w:val="21"/>
        </w:rPr>
        <w:t>珠寶大廈</w:t>
      </w:r>
      <w:r w:rsidRPr="00307C71">
        <w:rPr>
          <w:rFonts w:ascii="Arial" w:eastAsia="Times New Roman" w:hAnsi="Arial" w:cs="Arial"/>
          <w:sz w:val="21"/>
          <w:szCs w:val="21"/>
        </w:rPr>
        <w:t>510</w:t>
      </w:r>
      <w:r w:rsidRPr="00307C71">
        <w:rPr>
          <w:rFonts w:ascii="新細明體" w:eastAsia="新細明體" w:hAnsi="新細明體" w:cs="新細明體"/>
          <w:sz w:val="21"/>
          <w:szCs w:val="21"/>
        </w:rPr>
        <w:t>室</w:t>
      </w:r>
      <w:r w:rsidRPr="00AC0D33">
        <w:rPr>
          <w:rFonts w:ascii="Arial" w:hAnsi="Arial" w:cs="Arial"/>
          <w:sz w:val="21"/>
          <w:szCs w:val="21"/>
        </w:rPr>
        <w:br/>
      </w:r>
      <w:r w:rsidRPr="00307C71">
        <w:rPr>
          <w:rFonts w:ascii="Arial" w:eastAsia="Times New Roman" w:hAnsi="Arial" w:cs="Arial"/>
          <w:sz w:val="21"/>
          <w:szCs w:val="21"/>
        </w:rPr>
        <w:t>E-mail:</w:t>
      </w:r>
      <w:r w:rsidRPr="00AC0D33">
        <w:rPr>
          <w:rFonts w:ascii="Arial" w:eastAsia="Times New Roman" w:hAnsi="Arial" w:cs="Arial"/>
          <w:sz w:val="21"/>
          <w:szCs w:val="21"/>
        </w:rPr>
        <w:t xml:space="preserve"> </w:t>
      </w:r>
      <w:hyperlink r:id="rId6" w:history="1">
        <w:r w:rsidRPr="00307C71">
          <w:rPr>
            <w:rStyle w:val="a8"/>
            <w:rFonts w:ascii="Arial" w:eastAsia="Times New Roman" w:hAnsi="Arial" w:cs="Arial"/>
            <w:color w:val="auto"/>
            <w:sz w:val="21"/>
            <w:szCs w:val="21"/>
          </w:rPr>
          <w:t>sales-domestic@longshore.com.hk</w:t>
        </w:r>
      </w:hyperlink>
      <w:r w:rsidRPr="00AC0D33">
        <w:rPr>
          <w:rFonts w:ascii="Arial" w:hAnsi="Arial" w:cs="Arial"/>
          <w:sz w:val="21"/>
          <w:szCs w:val="21"/>
        </w:rPr>
        <w:br/>
      </w:r>
      <w:r w:rsidRPr="00307C71">
        <w:rPr>
          <w:rFonts w:ascii="新細明體" w:eastAsia="新細明體" w:hAnsi="新細明體" w:cs="新細明體" w:hint="eastAsia"/>
          <w:sz w:val="21"/>
          <w:szCs w:val="21"/>
        </w:rPr>
        <w:t>電話</w:t>
      </w:r>
      <w:r w:rsidRPr="00307C71">
        <w:rPr>
          <w:rFonts w:ascii="Arial" w:eastAsia="Times New Roman" w:hAnsi="Arial" w:cs="Arial"/>
          <w:sz w:val="21"/>
          <w:szCs w:val="21"/>
        </w:rPr>
        <w:t>:</w:t>
      </w:r>
      <w:r w:rsidRPr="00AC0D33">
        <w:rPr>
          <w:rFonts w:ascii="Arial" w:eastAsia="Times New Roman" w:hAnsi="Arial" w:cs="Arial"/>
          <w:sz w:val="21"/>
          <w:szCs w:val="21"/>
        </w:rPr>
        <w:t xml:space="preserve"> </w:t>
      </w:r>
      <w:r w:rsidRPr="00307C71">
        <w:rPr>
          <w:rFonts w:ascii="Arial" w:eastAsia="Times New Roman" w:hAnsi="Arial" w:cs="Arial"/>
          <w:sz w:val="21"/>
          <w:szCs w:val="21"/>
        </w:rPr>
        <w:t>+852 23631998</w:t>
      </w:r>
      <w:r w:rsidRPr="00AC0D33">
        <w:rPr>
          <w:rFonts w:ascii="Arial" w:hAnsi="Arial" w:cs="Arial"/>
          <w:sz w:val="21"/>
          <w:szCs w:val="21"/>
        </w:rPr>
        <w:br/>
      </w:r>
      <w:r w:rsidRPr="00307C71">
        <w:rPr>
          <w:rFonts w:ascii="Arial" w:eastAsia="Times New Roman" w:hAnsi="Arial" w:cs="Arial"/>
          <w:sz w:val="21"/>
          <w:szCs w:val="21"/>
        </w:rPr>
        <w:t>FAX:</w:t>
      </w:r>
      <w:r w:rsidRPr="00AC0D33">
        <w:rPr>
          <w:rFonts w:ascii="Arial" w:eastAsia="Times New Roman" w:hAnsi="Arial" w:cs="Arial"/>
          <w:sz w:val="21"/>
          <w:szCs w:val="21"/>
        </w:rPr>
        <w:t xml:space="preserve"> </w:t>
      </w:r>
      <w:r w:rsidRPr="00307C71">
        <w:rPr>
          <w:rFonts w:ascii="Arial" w:eastAsia="Times New Roman" w:hAnsi="Arial" w:cs="Arial"/>
          <w:sz w:val="21"/>
          <w:szCs w:val="21"/>
        </w:rPr>
        <w:t>+852 27647084</w:t>
      </w:r>
    </w:p>
    <w:p w14:paraId="54317991" w14:textId="77777777" w:rsidR="00307C71" w:rsidRPr="00C43A27" w:rsidRDefault="00307C71" w:rsidP="00307C71">
      <w:pPr>
        <w:rPr>
          <w:rFonts w:ascii="Times New Roman" w:hAnsi="Times New Roman" w:cs="Times New Roman" w:hint="eastAsia"/>
          <w:sz w:val="20"/>
          <w:szCs w:val="20"/>
        </w:rPr>
      </w:pPr>
    </w:p>
    <w:sectPr w:rsidR="00307C71" w:rsidRPr="00C43A27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217B6" w14:textId="77777777" w:rsidR="004B0EC2" w:rsidRDefault="004B0EC2" w:rsidP="00F95F06">
      <w:r>
        <w:separator/>
      </w:r>
    </w:p>
  </w:endnote>
  <w:endnote w:type="continuationSeparator" w:id="0">
    <w:p w14:paraId="413534FD" w14:textId="77777777" w:rsidR="004B0EC2" w:rsidRDefault="004B0EC2" w:rsidP="00F95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803B6" w14:textId="77777777" w:rsidR="004B0EC2" w:rsidRDefault="004B0EC2" w:rsidP="00F95F06">
      <w:r>
        <w:separator/>
      </w:r>
    </w:p>
  </w:footnote>
  <w:footnote w:type="continuationSeparator" w:id="0">
    <w:p w14:paraId="0D03E89A" w14:textId="77777777" w:rsidR="004B0EC2" w:rsidRDefault="004B0EC2" w:rsidP="00F95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18673" w14:textId="77777777" w:rsidR="00F95F06" w:rsidRPr="00C43A27" w:rsidRDefault="00F95F06" w:rsidP="00D44D82">
    <w:pPr>
      <w:pStyle w:val="a3"/>
      <w:rPr>
        <w:sz w:val="28"/>
        <w:szCs w:val="28"/>
      </w:rPr>
    </w:pPr>
    <w:r w:rsidRPr="00C43A27">
      <w:rPr>
        <w:rFonts w:hint="eastAsia"/>
        <w:sz w:val="28"/>
        <w:szCs w:val="28"/>
      </w:rPr>
      <w:t>新聞稿</w:t>
    </w:r>
  </w:p>
  <w:p w14:paraId="7F173B58" w14:textId="7C10183A" w:rsidR="00F95F06" w:rsidRPr="00D44D82" w:rsidRDefault="00F95F06" w:rsidP="00D44D82">
    <w:pPr>
      <w:pStyle w:val="a3"/>
      <w:rPr>
        <w:sz w:val="36"/>
        <w:szCs w:val="36"/>
      </w:rPr>
    </w:pPr>
    <w:r w:rsidRPr="00C43A27">
      <w:rPr>
        <w:rFonts w:hint="eastAsia"/>
        <w:sz w:val="28"/>
        <w:szCs w:val="28"/>
      </w:rPr>
      <w:t>栢龍玩具</w:t>
    </w:r>
    <w:r w:rsidR="00D44D82" w:rsidRPr="00C43A27">
      <w:rPr>
        <w:sz w:val="28"/>
        <w:szCs w:val="28"/>
      </w:rPr>
      <w:br/>
    </w:r>
    <w:r w:rsidRPr="00C43A27">
      <w:rPr>
        <w:sz w:val="28"/>
        <w:szCs w:val="28"/>
      </w:rPr>
      <w:t>2022</w:t>
    </w:r>
    <w:r w:rsidRPr="00C43A27">
      <w:rPr>
        <w:rFonts w:hint="eastAsia"/>
        <w:sz w:val="28"/>
        <w:szCs w:val="28"/>
      </w:rPr>
      <w:t>年</w:t>
    </w:r>
    <w:r w:rsidR="00C43A27" w:rsidRPr="00C43A27">
      <w:rPr>
        <w:rFonts w:hint="eastAsia"/>
        <w:sz w:val="28"/>
        <w:szCs w:val="28"/>
      </w:rPr>
      <w:t>1</w:t>
    </w:r>
    <w:r w:rsidR="00C43A27" w:rsidRPr="00C43A27">
      <w:rPr>
        <w:sz w:val="28"/>
        <w:szCs w:val="28"/>
      </w:rPr>
      <w:t>0</w:t>
    </w:r>
    <w:r w:rsidR="00C43A27" w:rsidRPr="00C43A27">
      <w:rPr>
        <w:rFonts w:hint="eastAsia"/>
        <w:sz w:val="28"/>
        <w:szCs w:val="28"/>
      </w:rPr>
      <w:t>月</w:t>
    </w:r>
    <w:r w:rsidR="00C43A27" w:rsidRPr="00C43A27">
      <w:rPr>
        <w:rFonts w:hint="eastAsia"/>
        <w:sz w:val="28"/>
        <w:szCs w:val="28"/>
      </w:rPr>
      <w:t>1</w:t>
    </w:r>
    <w:r w:rsidR="00C43A27" w:rsidRPr="00C43A27">
      <w:rPr>
        <w:sz w:val="28"/>
        <w:szCs w:val="28"/>
      </w:rPr>
      <w:t>0</w:t>
    </w:r>
    <w:r w:rsidR="00C43A27" w:rsidRPr="00C43A27">
      <w:rPr>
        <w:rFonts w:hint="eastAsia"/>
        <w:sz w:val="28"/>
        <w:szCs w:val="28"/>
      </w:rPr>
      <w:t>日</w:t>
    </w:r>
    <w:r>
      <w:ptab w:relativeTo="margin" w:alignment="center" w:leader="none"/>
    </w:r>
    <w:r>
      <w:ptab w:relativeTo="margin" w:alignment="right" w:leader="none"/>
    </w:r>
    <w:r w:rsidR="00D44D82">
      <w:rPr>
        <w:noProof/>
      </w:rPr>
      <w:drawing>
        <wp:inline distT="0" distB="0" distL="0" distR="0" wp14:anchorId="4C4A08BE" wp14:editId="469C1C23">
          <wp:extent cx="1088390" cy="879846"/>
          <wp:effectExtent l="0" t="0" r="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8428" cy="896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F06"/>
    <w:rsid w:val="000F06D3"/>
    <w:rsid w:val="00112D00"/>
    <w:rsid w:val="00125FFE"/>
    <w:rsid w:val="00241096"/>
    <w:rsid w:val="002A65F9"/>
    <w:rsid w:val="003041BF"/>
    <w:rsid w:val="00307C71"/>
    <w:rsid w:val="00345197"/>
    <w:rsid w:val="003C215B"/>
    <w:rsid w:val="00416925"/>
    <w:rsid w:val="00492B3C"/>
    <w:rsid w:val="004B0EC2"/>
    <w:rsid w:val="004B6DFB"/>
    <w:rsid w:val="00516327"/>
    <w:rsid w:val="00567613"/>
    <w:rsid w:val="006C3D9E"/>
    <w:rsid w:val="008044BF"/>
    <w:rsid w:val="009B5E2F"/>
    <w:rsid w:val="00A61D41"/>
    <w:rsid w:val="00AC0D33"/>
    <w:rsid w:val="00AE014E"/>
    <w:rsid w:val="00BF1B6D"/>
    <w:rsid w:val="00C43A27"/>
    <w:rsid w:val="00D44D82"/>
    <w:rsid w:val="00DB5DDE"/>
    <w:rsid w:val="00E83E03"/>
    <w:rsid w:val="00F22126"/>
    <w:rsid w:val="00F45506"/>
    <w:rsid w:val="00F9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C1199"/>
  <w15:chartTrackingRefBased/>
  <w15:docId w15:val="{A880A4B6-9872-44F3-9229-E18E7FDF9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4BF"/>
    <w:rPr>
      <w:rFonts w:ascii="Calibri" w:hAnsi="Calibri" w:cs="Calibri"/>
      <w:kern w:val="0"/>
      <w:sz w:val="22"/>
    </w:rPr>
  </w:style>
  <w:style w:type="paragraph" w:styleId="3">
    <w:name w:val="heading 3"/>
    <w:basedOn w:val="a"/>
    <w:link w:val="30"/>
    <w:uiPriority w:val="9"/>
    <w:qFormat/>
    <w:rsid w:val="00307C7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95F0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95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95F06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307C71"/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styleId="a7">
    <w:name w:val="Strong"/>
    <w:basedOn w:val="a0"/>
    <w:uiPriority w:val="22"/>
    <w:qFormat/>
    <w:rsid w:val="00307C71"/>
    <w:rPr>
      <w:b/>
      <w:bCs/>
    </w:rPr>
  </w:style>
  <w:style w:type="paragraph" w:styleId="Web">
    <w:name w:val="Normal (Web)"/>
    <w:basedOn w:val="a"/>
    <w:uiPriority w:val="99"/>
    <w:semiHidden/>
    <w:unhideWhenUsed/>
    <w:rsid w:val="00307C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307C7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07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5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les-domestic@longshore.com.h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katyc</dc:creator>
  <cp:keywords/>
  <dc:description/>
  <cp:lastModifiedBy>katyc</cp:lastModifiedBy>
  <cp:revision>4</cp:revision>
  <dcterms:created xsi:type="dcterms:W3CDTF">2022-10-12T01:24:00Z</dcterms:created>
  <dcterms:modified xsi:type="dcterms:W3CDTF">2022-10-12T03:26:00Z</dcterms:modified>
</cp:coreProperties>
</file>